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4BC9" w14:textId="0897BFC0" w:rsidR="00F505A4" w:rsidRPr="00F505A4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center"/>
        <w:rPr>
          <w:rFonts w:ascii="Cambria" w:hAnsi="Cambria"/>
          <w:i/>
          <w:iCs/>
          <w:sz w:val="22"/>
          <w:szCs w:val="22"/>
          <w:lang w:val="en-US"/>
        </w:rPr>
      </w:pPr>
      <w:r w:rsidRPr="00F505A4">
        <w:rPr>
          <w:rFonts w:ascii="Cambria" w:hAnsi="Cambria"/>
          <w:i/>
          <w:iCs/>
          <w:sz w:val="22"/>
          <w:szCs w:val="22"/>
          <w:lang w:val="en-US"/>
        </w:rPr>
        <w:t>Elements</w:t>
      </w:r>
      <w:r w:rsidR="006A1CED">
        <w:rPr>
          <w:rFonts w:ascii="Cambria" w:hAnsi="Cambria"/>
          <w:i/>
          <w:iCs/>
          <w:sz w:val="22"/>
          <w:szCs w:val="22"/>
          <w:lang w:val="en-US"/>
        </w:rPr>
        <w:t xml:space="preserve"> vol. 22, no. 2 – April 2026</w:t>
      </w:r>
    </w:p>
    <w:p w14:paraId="1DBC2222" w14:textId="77777777" w:rsidR="00F505A4" w:rsidRPr="00F505A4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center"/>
        <w:rPr>
          <w:rFonts w:ascii="Cambria" w:eastAsia="Arial" w:hAnsi="Cambria" w:cs="Arial"/>
          <w:sz w:val="22"/>
          <w:szCs w:val="22"/>
          <w:lang w:val="en-US"/>
        </w:rPr>
      </w:pPr>
      <w:r w:rsidRPr="00F505A4">
        <w:rPr>
          <w:rFonts w:ascii="Cambria" w:hAnsi="Cambria"/>
          <w:sz w:val="22"/>
          <w:szCs w:val="22"/>
          <w:lang w:val="en-US"/>
        </w:rPr>
        <w:t>Supplemental Material for</w:t>
      </w:r>
    </w:p>
    <w:p w14:paraId="55762A19" w14:textId="77777777" w:rsidR="00F505A4" w:rsidRPr="00F505A4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center"/>
        <w:rPr>
          <w:rFonts w:ascii="Cambria" w:hAnsi="Cambria"/>
          <w:b/>
          <w:bCs/>
          <w:sz w:val="22"/>
          <w:szCs w:val="22"/>
          <w:lang w:val="en-US"/>
        </w:rPr>
      </w:pPr>
      <w:r w:rsidRPr="00F505A4">
        <w:rPr>
          <w:rFonts w:ascii="Cambria" w:eastAsia="Arial" w:hAnsi="Cambria" w:cs="Arial"/>
          <w:b/>
          <w:bCs/>
          <w:sz w:val="22"/>
          <w:szCs w:val="22"/>
          <w:lang w:val="en-US"/>
        </w:rPr>
        <w:t>Carrying the Planet on their Backs: How Minerals Respond to Stress</w:t>
      </w:r>
    </w:p>
    <w:p w14:paraId="3139E051" w14:textId="492DFF8A" w:rsidR="00F505A4" w:rsidRPr="00E50CF5" w:rsidRDefault="00F505A4" w:rsidP="00814ACD">
      <w:pPr>
        <w:adjustRightInd w:val="0"/>
        <w:snapToGrid w:val="0"/>
        <w:spacing w:after="0" w:line="240" w:lineRule="auto"/>
        <w:ind w:firstLine="720"/>
        <w:jc w:val="center"/>
        <w:rPr>
          <w:rFonts w:ascii="Cambria" w:hAnsi="Cambria"/>
          <w:sz w:val="20"/>
          <w:szCs w:val="20"/>
          <w:lang w:val="en-US"/>
        </w:rPr>
      </w:pPr>
      <w:r w:rsidRPr="00F505A4">
        <w:rPr>
          <w:rFonts w:ascii="Cambria" w:hAnsi="Cambria"/>
          <w:sz w:val="22"/>
          <w:szCs w:val="22"/>
          <w:lang w:val="en-US"/>
        </w:rPr>
        <w:t>Mattia Luca Mazzucchelli</w:t>
      </w:r>
      <w:r w:rsidR="00E50CF5" w:rsidRPr="00E50CF5">
        <w:rPr>
          <w:rFonts w:ascii="Cambria" w:hAnsi="Cambria"/>
          <w:sz w:val="22"/>
          <w:szCs w:val="22"/>
          <w:vertAlign w:val="superscript"/>
          <w:lang w:val="en-US"/>
        </w:rPr>
        <w:t>1</w:t>
      </w:r>
      <w:r w:rsidRPr="00F505A4">
        <w:rPr>
          <w:rFonts w:ascii="Cambria" w:hAnsi="Cambria"/>
          <w:sz w:val="22"/>
          <w:szCs w:val="22"/>
          <w:lang w:val="en-US"/>
        </w:rPr>
        <w:t>, Patrick Cordier</w:t>
      </w:r>
      <w:r w:rsidR="00E50CF5">
        <w:rPr>
          <w:rStyle w:val="FootnoteReference"/>
          <w:rFonts w:ascii="Cambria" w:hAnsi="Cambria"/>
          <w:sz w:val="22"/>
          <w:szCs w:val="22"/>
          <w:lang w:val="en-US"/>
        </w:rPr>
        <w:t>2</w:t>
      </w:r>
      <w:r w:rsidR="00E50CF5" w:rsidRPr="00E50CF5">
        <w:rPr>
          <w:rFonts w:ascii="Cambria" w:hAnsi="Cambria"/>
          <w:sz w:val="22"/>
          <w:szCs w:val="22"/>
          <w:vertAlign w:val="superscript"/>
          <w:lang w:val="en-US"/>
        </w:rPr>
        <w:t>,3</w:t>
      </w:r>
      <w:r w:rsidRPr="00F505A4">
        <w:rPr>
          <w:rFonts w:ascii="Cambria" w:hAnsi="Cambria"/>
          <w:spacing w:val="19"/>
          <w:position w:val="5"/>
          <w:sz w:val="22"/>
          <w:szCs w:val="22"/>
          <w:lang w:val="en-US"/>
        </w:rPr>
        <w:t xml:space="preserve"> </w:t>
      </w:r>
      <w:r w:rsidRPr="00F505A4">
        <w:rPr>
          <w:rFonts w:ascii="Cambria" w:hAnsi="Cambria"/>
          <w:sz w:val="22"/>
          <w:szCs w:val="22"/>
          <w:lang w:val="en-US"/>
        </w:rPr>
        <w:t>and</w:t>
      </w:r>
      <w:r w:rsidRPr="00F505A4">
        <w:rPr>
          <w:rFonts w:ascii="Cambria" w:hAnsi="Cambria"/>
          <w:spacing w:val="-4"/>
          <w:sz w:val="22"/>
          <w:szCs w:val="22"/>
          <w:lang w:val="en-US"/>
        </w:rPr>
        <w:t xml:space="preserve"> </w:t>
      </w:r>
      <w:r w:rsidRPr="00F505A4">
        <w:rPr>
          <w:rFonts w:ascii="Cambria" w:hAnsi="Cambria"/>
          <w:sz w:val="22"/>
          <w:szCs w:val="22"/>
          <w:lang w:val="en-US"/>
        </w:rPr>
        <w:t>Claudia A. Trepmann</w:t>
      </w:r>
      <w:bookmarkStart w:id="0" w:name="Abstract"/>
      <w:bookmarkEnd w:id="0"/>
      <w:r w:rsidR="00E50CF5" w:rsidRPr="00E50CF5">
        <w:rPr>
          <w:rFonts w:ascii="Cambria" w:hAnsi="Cambria"/>
          <w:sz w:val="22"/>
          <w:szCs w:val="22"/>
          <w:vertAlign w:val="superscript"/>
          <w:lang w:val="en-US"/>
        </w:rPr>
        <w:t>4</w:t>
      </w:r>
      <w:r w:rsidR="00E50CF5">
        <w:rPr>
          <w:rFonts w:ascii="Cambria" w:hAnsi="Cambria"/>
          <w:sz w:val="22"/>
          <w:szCs w:val="22"/>
          <w:lang w:val="en-US"/>
        </w:rPr>
        <w:br/>
      </w:r>
      <w:r w:rsidR="00E50CF5">
        <w:rPr>
          <w:rFonts w:ascii="Cambria" w:hAnsi="Cambria"/>
          <w:sz w:val="22"/>
          <w:szCs w:val="22"/>
          <w:lang w:val="en-US"/>
        </w:rPr>
        <w:br/>
      </w:r>
      <w:r w:rsidR="00814ACD">
        <w:rPr>
          <w:rFonts w:ascii="Cambria" w:hAnsi="Cambria"/>
          <w:sz w:val="20"/>
          <w:szCs w:val="20"/>
          <w:vertAlign w:val="superscript"/>
          <w:lang w:val="en-US"/>
        </w:rPr>
        <w:t>1</w:t>
      </w:r>
      <w:r w:rsidR="00814ACD" w:rsidRPr="00814ACD">
        <w:rPr>
          <w:rFonts w:ascii="Cambria" w:hAnsi="Cambria"/>
          <w:sz w:val="20"/>
          <w:szCs w:val="20"/>
          <w:lang w:val="en-US"/>
        </w:rPr>
        <w:t xml:space="preserve"> </w:t>
      </w:r>
      <w:r w:rsidR="00E50CF5" w:rsidRPr="00E50CF5">
        <w:rPr>
          <w:rFonts w:ascii="Cambria" w:hAnsi="Cambria"/>
          <w:sz w:val="20"/>
          <w:szCs w:val="20"/>
          <w:lang w:val="en-US"/>
        </w:rPr>
        <w:t>Université de Lausanne - Institute of Earth Sciences  CH-1015 Lausanne, Switzerland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; 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E-mail: </w:t>
      </w:r>
      <w:r w:rsidR="00E50CF5" w:rsidRPr="00E50CF5">
        <w:rPr>
          <w:rFonts w:ascii="Cambria" w:hAnsi="Cambria"/>
          <w:sz w:val="20"/>
          <w:szCs w:val="20"/>
          <w:lang w:val="en-US"/>
        </w:rPr>
        <w:fldChar w:fldCharType="begin"/>
      </w:r>
      <w:r w:rsidR="00E50CF5" w:rsidRPr="00E50CF5">
        <w:rPr>
          <w:rFonts w:ascii="Cambria" w:hAnsi="Cambria"/>
          <w:sz w:val="20"/>
          <w:szCs w:val="20"/>
          <w:lang w:val="en-US"/>
        </w:rPr>
        <w:instrText>HYPERLINK "mailto:</w:instrText>
      </w:r>
      <w:r w:rsidR="00E50CF5" w:rsidRPr="00E50CF5">
        <w:rPr>
          <w:rFonts w:ascii="Cambria" w:hAnsi="Cambria"/>
          <w:sz w:val="20"/>
          <w:szCs w:val="20"/>
          <w:lang w:val="en-US"/>
        </w:rPr>
        <w:instrText>mattia.mazzucchelli@unil.ch</w:instrText>
      </w:r>
      <w:r w:rsidR="00E50CF5" w:rsidRPr="00E50CF5">
        <w:rPr>
          <w:rFonts w:ascii="Cambria" w:hAnsi="Cambria"/>
          <w:sz w:val="20"/>
          <w:szCs w:val="20"/>
          <w:lang w:val="en-US"/>
        </w:rPr>
        <w:instrText>"</w:instrText>
      </w:r>
      <w:r w:rsidR="00E50CF5" w:rsidRPr="00E50CF5">
        <w:rPr>
          <w:rFonts w:ascii="Cambria" w:hAnsi="Cambria"/>
          <w:sz w:val="20"/>
          <w:szCs w:val="20"/>
          <w:lang w:val="en-US"/>
        </w:rPr>
        <w:fldChar w:fldCharType="separate"/>
      </w:r>
      <w:r w:rsidR="00E50CF5" w:rsidRPr="00E50CF5">
        <w:rPr>
          <w:rStyle w:val="Hyperlink"/>
          <w:rFonts w:ascii="Cambria" w:hAnsi="Cambria"/>
          <w:sz w:val="20"/>
          <w:szCs w:val="20"/>
          <w:lang w:val="en-US"/>
        </w:rPr>
        <w:t>mattia.mazzucchelli@unil.ch</w:t>
      </w:r>
      <w:r w:rsidR="00E50CF5" w:rsidRPr="00E50CF5">
        <w:rPr>
          <w:rFonts w:ascii="Cambria" w:hAnsi="Cambria"/>
          <w:sz w:val="20"/>
          <w:szCs w:val="20"/>
          <w:lang w:val="en-US"/>
        </w:rPr>
        <w:fldChar w:fldCharType="end"/>
      </w:r>
      <w:r w:rsidR="00814ACD">
        <w:rPr>
          <w:rFonts w:ascii="Cambria" w:hAnsi="Cambria"/>
          <w:sz w:val="20"/>
          <w:szCs w:val="20"/>
          <w:lang w:val="en-US"/>
        </w:rPr>
        <w:t xml:space="preserve"> </w:t>
      </w:r>
      <w:r w:rsidR="00E50CF5" w:rsidRPr="00E50CF5">
        <w:rPr>
          <w:rFonts w:ascii="Cambria" w:hAnsi="Cambria"/>
          <w:sz w:val="20"/>
          <w:szCs w:val="20"/>
          <w:vertAlign w:val="superscript"/>
          <w:lang w:val="en-US"/>
        </w:rPr>
        <w:t>2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 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Université de Lille - 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Unité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Matériaux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 xml:space="preserve"> et Transformations UMR CNRS 8207  59655 Villeneuve 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d'Ascq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 xml:space="preserve"> Cedex, France</w:t>
      </w:r>
      <w:r w:rsidR="00E50CF5" w:rsidRPr="00E50CF5">
        <w:rPr>
          <w:rFonts w:ascii="Cambria" w:hAnsi="Cambria"/>
          <w:sz w:val="20"/>
          <w:szCs w:val="20"/>
          <w:lang w:val="en-US"/>
        </w:rPr>
        <w:t>;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 E-mail: </w:t>
      </w:r>
      <w:hyperlink r:id="rId6" w:history="1">
        <w:r w:rsidR="00E50CF5" w:rsidRPr="00E50CF5">
          <w:rPr>
            <w:rStyle w:val="Hyperlink"/>
            <w:rFonts w:ascii="Cambria" w:hAnsi="Cambria"/>
            <w:sz w:val="20"/>
            <w:szCs w:val="20"/>
            <w:lang w:val="en-US"/>
          </w:rPr>
          <w:t>patrick.cordier@univ-lille.fr</w:t>
        </w:r>
      </w:hyperlink>
      <w:r w:rsidR="00814ACD">
        <w:rPr>
          <w:rFonts w:ascii="Cambria" w:hAnsi="Cambria"/>
          <w:sz w:val="20"/>
          <w:szCs w:val="20"/>
          <w:lang w:val="en-US"/>
        </w:rPr>
        <w:t xml:space="preserve"> </w:t>
      </w:r>
      <w:r w:rsidR="00E50CF5" w:rsidRPr="00E50CF5">
        <w:rPr>
          <w:rFonts w:ascii="Cambria" w:hAnsi="Cambria"/>
          <w:sz w:val="20"/>
          <w:szCs w:val="20"/>
          <w:vertAlign w:val="superscript"/>
          <w:lang w:val="en-US"/>
        </w:rPr>
        <w:t>3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Institut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Universitaire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 xml:space="preserve"> de France  75005 Paris, France</w:t>
      </w:r>
      <w:r w:rsidR="00814ACD">
        <w:rPr>
          <w:rFonts w:ascii="Cambria" w:hAnsi="Cambria"/>
          <w:sz w:val="20"/>
          <w:szCs w:val="20"/>
          <w:lang w:val="en-US"/>
        </w:rPr>
        <w:t xml:space="preserve"> </w:t>
      </w:r>
      <w:r w:rsidR="00E50CF5" w:rsidRPr="00E50CF5">
        <w:rPr>
          <w:rFonts w:ascii="Cambria" w:hAnsi="Cambria"/>
          <w:sz w:val="20"/>
          <w:szCs w:val="20"/>
          <w:vertAlign w:val="superscript"/>
          <w:lang w:val="en-US"/>
        </w:rPr>
        <w:t>4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 </w:t>
      </w:r>
      <w:r w:rsidR="00E50CF5" w:rsidRPr="00E50CF5">
        <w:rPr>
          <w:rFonts w:ascii="Cambria" w:hAnsi="Cambria"/>
          <w:sz w:val="20"/>
          <w:szCs w:val="20"/>
          <w:lang w:val="en-US"/>
        </w:rPr>
        <w:t>Ludwig-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Maximilians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>-Universität München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, 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Department für Geo- und </w:t>
      </w:r>
      <w:proofErr w:type="spellStart"/>
      <w:r w:rsidR="00E50CF5" w:rsidRPr="00E50CF5">
        <w:rPr>
          <w:rFonts w:ascii="Cambria" w:hAnsi="Cambria"/>
          <w:sz w:val="20"/>
          <w:szCs w:val="20"/>
          <w:lang w:val="en-US"/>
        </w:rPr>
        <w:t>Umweltwissenschaften</w:t>
      </w:r>
      <w:proofErr w:type="spellEnd"/>
      <w:r w:rsidR="00E50CF5" w:rsidRPr="00E50CF5">
        <w:rPr>
          <w:rFonts w:ascii="Cambria" w:hAnsi="Cambria"/>
          <w:sz w:val="20"/>
          <w:szCs w:val="20"/>
          <w:lang w:val="en-US"/>
        </w:rPr>
        <w:t xml:space="preserve">, </w:t>
      </w:r>
      <w:r w:rsidR="00E50CF5" w:rsidRPr="00E50CF5">
        <w:rPr>
          <w:rFonts w:ascii="Cambria" w:hAnsi="Cambria"/>
          <w:sz w:val="20"/>
          <w:szCs w:val="20"/>
          <w:lang w:val="en-US"/>
        </w:rPr>
        <w:t>DE-80333 München, Germany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; </w:t>
      </w:r>
      <w:r w:rsidR="00E50CF5" w:rsidRPr="00E50CF5">
        <w:rPr>
          <w:rFonts w:ascii="Cambria" w:hAnsi="Cambria"/>
          <w:sz w:val="20"/>
          <w:szCs w:val="20"/>
          <w:lang w:val="en-US"/>
        </w:rPr>
        <w:t xml:space="preserve">E-mail: </w:t>
      </w:r>
      <w:hyperlink r:id="rId7" w:history="1">
        <w:r w:rsidR="00E50CF5" w:rsidRPr="00E50CF5">
          <w:rPr>
            <w:rStyle w:val="Hyperlink"/>
            <w:rFonts w:ascii="Cambria" w:hAnsi="Cambria"/>
            <w:sz w:val="20"/>
            <w:szCs w:val="20"/>
            <w:lang w:val="en-US"/>
          </w:rPr>
          <w:t>claudia.trepmann@lmu.de</w:t>
        </w:r>
      </w:hyperlink>
    </w:p>
    <w:p w14:paraId="145F5819" w14:textId="77777777" w:rsidR="00F505A4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both"/>
        <w:rPr>
          <w:rFonts w:ascii="Cambria" w:hAnsi="Cambria"/>
          <w:sz w:val="22"/>
          <w:szCs w:val="22"/>
          <w:lang w:val="en-US"/>
        </w:rPr>
      </w:pPr>
    </w:p>
    <w:p w14:paraId="6D5170CE" w14:textId="29098852" w:rsidR="00AC353A" w:rsidRDefault="00E50CF5" w:rsidP="00AC353A">
      <w:pPr>
        <w:adjustRightInd w:val="0"/>
        <w:snapToGrid w:val="0"/>
        <w:spacing w:before="120" w:after="120" w:line="240" w:lineRule="auto"/>
        <w:ind w:left="706" w:hanging="706"/>
        <w:jc w:val="both"/>
        <w:rPr>
          <w:rFonts w:ascii="Cambria" w:hAnsi="Cambria"/>
          <w:b/>
          <w:bCs/>
          <w:sz w:val="22"/>
          <w:szCs w:val="22"/>
          <w:lang w:val="en-US"/>
        </w:rPr>
      </w:pPr>
      <w:r>
        <w:rPr>
          <w:rFonts w:ascii="Cambria" w:hAnsi="Cambria"/>
          <w:b/>
          <w:bCs/>
          <w:sz w:val="22"/>
          <w:szCs w:val="22"/>
          <w:lang w:val="en-US"/>
        </w:rPr>
        <w:t>Data sources (</w:t>
      </w:r>
      <w:r w:rsidR="00AC353A">
        <w:rPr>
          <w:rFonts w:ascii="Cambria" w:hAnsi="Cambria"/>
          <w:b/>
          <w:bCs/>
          <w:sz w:val="22"/>
          <w:szCs w:val="22"/>
          <w:lang w:val="en-US"/>
        </w:rPr>
        <w:t>Figure 4</w:t>
      </w:r>
      <w:r>
        <w:rPr>
          <w:rFonts w:ascii="Cambria" w:hAnsi="Cambria"/>
          <w:b/>
          <w:bCs/>
          <w:sz w:val="22"/>
          <w:szCs w:val="22"/>
          <w:lang w:val="en-US"/>
        </w:rPr>
        <w:t>)</w:t>
      </w:r>
    </w:p>
    <w:p w14:paraId="371A79B1" w14:textId="35263A1A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(1)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Schoenherr J,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Schléder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Z,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Urai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JL,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Littke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R,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Kukla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PA (2010) Deformation mechanisms of deeply buried and surface‑piercing Late Pre‑Cambrian to Early Cambrian Ara Salt from interior Oman. International Journal of Earth Sciences 99</w:t>
      </w:r>
      <w:r w:rsidR="00303C93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1007</w:t>
      </w:r>
      <w:r w:rsidR="00303C93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1025</w:t>
      </w:r>
      <w:r w:rsidR="00303C93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:</w:t>
      </w:r>
      <w:r w:rsidR="00303C93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hyperlink r:id="rId8" w:history="1"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</w:t>
        </w:r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0</w:t>
        </w:r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7/s00531-009-0443-3</w:t>
        </w:r>
      </w:hyperlink>
    </w:p>
    <w:p w14:paraId="44348C96" w14:textId="579CFD4F" w:rsidR="00AC353A" w:rsidRPr="00F505A4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>(2)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Zoback MD</w:t>
      </w:r>
      <w:r w:rsidR="00303C93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Townend J (2001) Implications of hydrostatic pore pressures and high </w:t>
      </w:r>
      <w:r w:rsidR="00303C93">
        <w:rPr>
          <w:rFonts w:ascii="Cambria" w:eastAsiaTheme="minorHAnsi" w:hAnsi="Cambria"/>
          <w:sz w:val="22"/>
          <w:szCs w:val="22"/>
          <w:lang w:val="en-US"/>
        </w:rPr>
        <w:t xml:space="preserve">crustal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strength for the deformation of intraplate lithosphere. Tectonophysics 336</w:t>
      </w:r>
      <w:r w:rsidR="00303C93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19</w:t>
      </w:r>
      <w:r w:rsidR="00303C93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30</w:t>
      </w:r>
      <w:r w:rsidR="00303C93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9" w:history="1"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</w:t>
        </w:r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0</w:t>
        </w:r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16/S0040-1951(01)00091-9</w:t>
        </w:r>
      </w:hyperlink>
    </w:p>
    <w:p w14:paraId="03F239D2" w14:textId="049659F9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(3)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Stipp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M,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Stünitz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H,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Heilbronner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R, Schmid SM (2002) Dynamic recrystallization of quartz: </w:t>
      </w:r>
      <w:r w:rsidR="006A1CED">
        <w:rPr>
          <w:rFonts w:ascii="Cambria" w:eastAsiaTheme="minorHAnsi" w:hAnsi="Cambria"/>
          <w:sz w:val="22"/>
          <w:szCs w:val="22"/>
          <w:lang w:val="en-US"/>
        </w:rPr>
        <w:t>c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orrelation between natural and experimental conditions. Geological Society, London, Special Publications 200</w:t>
      </w:r>
      <w:r w:rsidR="006A1CED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171</w:t>
      </w:r>
      <w:r w:rsidR="006A1CED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190</w:t>
      </w:r>
      <w:r w:rsidR="006A1CED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:</w:t>
      </w:r>
      <w:r w:rsidR="00303C93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hyperlink r:id="rId10" w:history="1">
        <w:r w:rsidR="00303C93" w:rsidRPr="00303C93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10.1144/GSL.SP.2001.200.01.11</w:t>
        </w:r>
      </w:hyperlink>
      <w:r w:rsidR="00303C93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</w:p>
    <w:p w14:paraId="6DB7F441" w14:textId="094E4BBC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(4)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Brückner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LM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Trepmann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CA (2021) Stresses during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pseudotachylyte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formation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- e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vidence from deformed amphibole and quartz in fault rocks from the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Silvretta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basal thrust (Austria). Tectonophysics 817</w:t>
      </w:r>
      <w:r w:rsidR="006A1CED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229046</w:t>
      </w:r>
      <w:r w:rsidR="006A1CED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: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hyperlink r:id="rId11" w:history="1"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6/j.tecto.2021.229046</w:t>
        </w:r>
      </w:hyperlink>
      <w:r w:rsidR="006A1CED" w:rsidRPr="006A1CED">
        <w:t xml:space="preserve"> </w:t>
      </w:r>
    </w:p>
    <w:p w14:paraId="3AFAD109" w14:textId="771BAAB6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(5)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Trepmann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CA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Stöckhert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B (2001) Mechanical twinning of jadeite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– a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n indication of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synseismic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loading beneath the brittle</w:t>
      </w:r>
      <w:r w:rsidR="006A1CED">
        <w:rPr>
          <w:rFonts w:ascii="Cambria" w:eastAsiaTheme="minorHAnsi" w:hAnsi="Cambria"/>
          <w:sz w:val="22"/>
          <w:szCs w:val="22"/>
          <w:lang w:val="en-US"/>
        </w:rPr>
        <w:t>–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plastic transition. International Journal of Earth Sciences 90</w:t>
      </w:r>
      <w:r w:rsidR="006A1CED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4</w:t>
      </w:r>
      <w:r w:rsidR="006A1CED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13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: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hyperlink r:id="rId12" w:history="1"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10.100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7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/s005310000165</w:t>
        </w:r>
      </w:hyperlink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</w:p>
    <w:p w14:paraId="10F98BA3" w14:textId="1F885B50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(6)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Campbell LR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Menegon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L (2022) High stress deformation and short‑term thermal pulse preserved in pyroxene microstructures from exhumed lower crustal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seismogenic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faults (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Lofoten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, Norway). Journal of Geophysical Research: Solid Earth 127</w:t>
      </w:r>
      <w:r w:rsidR="006A1CED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e2021JB023616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13" w:history="1"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10.1029/2021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J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B023616</w:t>
        </w:r>
      </w:hyperlink>
    </w:p>
    <w:p w14:paraId="7FED60EC" w14:textId="5F537017" w:rsid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(7)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Andersen TB, Mair K,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Austrheim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H,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Podladchikov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YY,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Vrijmoed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JC (2008) Stress release in exhumed intermediate and deep earthquakes determined from ultramafic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pseudotachylyte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. Geology 36</w:t>
      </w:r>
      <w:r w:rsidR="006A1CED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995</w:t>
      </w:r>
      <w:r w:rsidR="006A1CED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998</w:t>
      </w:r>
      <w:r w:rsidR="006A1CED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: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hyperlink r:id="rId14" w:history="1"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10.11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3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0/G25230A.1</w:t>
        </w:r>
      </w:hyperlink>
    </w:p>
    <w:p w14:paraId="71207481" w14:textId="68F2599C" w:rsid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(8)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Stöckhert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B (2002) Stress and deformation in subduction zones: </w:t>
      </w:r>
      <w:r w:rsidR="006A1CED">
        <w:rPr>
          <w:rFonts w:ascii="Cambria" w:eastAsiaTheme="minorHAnsi" w:hAnsi="Cambria"/>
          <w:sz w:val="22"/>
          <w:szCs w:val="22"/>
          <w:lang w:val="en-US"/>
        </w:rPr>
        <w:t>i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nsight from the record of exhumed metamorphic rocks. In: De Meer S, Drury MR, </w:t>
      </w:r>
      <w:r w:rsidR="006A1CED">
        <w:rPr>
          <w:rFonts w:ascii="Cambria" w:eastAsiaTheme="minorHAnsi" w:hAnsi="Cambria"/>
          <w:sz w:val="22"/>
          <w:szCs w:val="22"/>
          <w:lang w:val="en-US"/>
        </w:rPr>
        <w:t>d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e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Bresser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JHP, Pennock GM (</w:t>
      </w:r>
      <w:r w:rsidR="006A1CED">
        <w:rPr>
          <w:rFonts w:ascii="Cambria" w:eastAsiaTheme="minorHAnsi" w:hAnsi="Cambria"/>
          <w:sz w:val="22"/>
          <w:szCs w:val="22"/>
          <w:lang w:val="en-US"/>
        </w:rPr>
        <w:t>e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ds) Deformation Mechanisms, Rheology and Tectonics: Current Status and Future Perspectives. 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The Geological Society, London, pp 255-274,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>:</w:t>
      </w:r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hyperlink r:id="rId15" w:history="1"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10.1144/GSL.SP.2001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.</w:t>
        </w:r>
        <w:r w:rsidR="006A1CED" w:rsidRP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200.01.15</w:t>
        </w:r>
      </w:hyperlink>
      <w:r w:rsidR="006A1CED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</w:p>
    <w:p w14:paraId="198AADDB" w14:textId="77777777" w:rsidR="00AC353A" w:rsidRPr="00383EE9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lastRenderedPageBreak/>
        <w:t xml:space="preserve">(9) </w:t>
      </w:r>
      <w:proofErr w:type="spellStart"/>
      <w:r w:rsidRPr="00383EE9">
        <w:rPr>
          <w:rFonts w:ascii="Cambria" w:eastAsiaTheme="minorHAnsi" w:hAnsi="Cambria"/>
          <w:sz w:val="22"/>
          <w:szCs w:val="22"/>
          <w:lang w:val="en-US"/>
        </w:rPr>
        <w:t>Lenze</w:t>
      </w:r>
      <w:proofErr w:type="spellEnd"/>
      <w:r w:rsidRPr="00383EE9">
        <w:rPr>
          <w:rFonts w:ascii="Cambria" w:eastAsiaTheme="minorHAnsi" w:hAnsi="Cambria"/>
          <w:sz w:val="22"/>
          <w:szCs w:val="22"/>
          <w:lang w:val="en-US"/>
        </w:rPr>
        <w:t xml:space="preserve"> A, </w:t>
      </w:r>
      <w:proofErr w:type="spellStart"/>
      <w:r w:rsidRPr="00383EE9">
        <w:rPr>
          <w:rFonts w:ascii="Cambria" w:eastAsiaTheme="minorHAnsi" w:hAnsi="Cambria"/>
          <w:sz w:val="22"/>
          <w:szCs w:val="22"/>
          <w:lang w:val="en-US"/>
        </w:rPr>
        <w:t>Stöckhert</w:t>
      </w:r>
      <w:proofErr w:type="spellEnd"/>
      <w:r w:rsidRPr="00383EE9">
        <w:rPr>
          <w:rFonts w:ascii="Cambria" w:eastAsiaTheme="minorHAnsi" w:hAnsi="Cambria"/>
          <w:sz w:val="22"/>
          <w:szCs w:val="22"/>
          <w:lang w:val="en-US"/>
        </w:rPr>
        <w:t xml:space="preserve"> B, Wirth R (2005) Grain scale deformation in ultra‑high</w:t>
      </w:r>
      <w:r>
        <w:rPr>
          <w:rFonts w:ascii="Cambria" w:eastAsiaTheme="minorHAnsi" w:hAnsi="Cambria"/>
          <w:sz w:val="22"/>
          <w:szCs w:val="22"/>
          <w:lang w:val="en-US"/>
        </w:rPr>
        <w:t>-</w:t>
      </w:r>
      <w:r w:rsidRPr="00383EE9">
        <w:rPr>
          <w:rFonts w:ascii="Cambria" w:eastAsiaTheme="minorHAnsi" w:hAnsi="Cambria"/>
          <w:sz w:val="22"/>
          <w:szCs w:val="22"/>
          <w:lang w:val="en-US"/>
        </w:rPr>
        <w:t>pressure metamorphic rocks</w:t>
      </w:r>
      <w:r>
        <w:rPr>
          <w:rFonts w:ascii="Cambria" w:eastAsiaTheme="minorHAnsi" w:hAnsi="Cambria"/>
          <w:sz w:val="22"/>
          <w:szCs w:val="22"/>
          <w:lang w:val="en-US"/>
        </w:rPr>
        <w:t>—</w:t>
      </w:r>
      <w:r w:rsidRPr="00383EE9">
        <w:rPr>
          <w:rFonts w:ascii="Cambria" w:eastAsiaTheme="minorHAnsi" w:hAnsi="Cambria"/>
          <w:sz w:val="22"/>
          <w:szCs w:val="22"/>
          <w:lang w:val="en-US"/>
        </w:rPr>
        <w:t>an indicator of rapid phase transformation. Earth and Planetary Science Letters 229</w:t>
      </w:r>
      <w:r>
        <w:rPr>
          <w:rFonts w:ascii="Cambria" w:eastAsiaTheme="minorHAnsi" w:hAnsi="Cambria"/>
          <w:sz w:val="22"/>
          <w:szCs w:val="22"/>
          <w:lang w:val="en-US"/>
        </w:rPr>
        <w:t>:</w:t>
      </w:r>
      <w:r w:rsidRPr="00383EE9">
        <w:rPr>
          <w:rFonts w:ascii="Cambria" w:eastAsiaTheme="minorHAnsi" w:hAnsi="Cambria"/>
          <w:sz w:val="22"/>
          <w:szCs w:val="22"/>
          <w:lang w:val="en-US"/>
        </w:rPr>
        <w:t xml:space="preserve"> 217</w:t>
      </w:r>
      <w:r>
        <w:rPr>
          <w:rFonts w:ascii="Cambria" w:eastAsiaTheme="minorHAnsi" w:hAnsi="Cambria"/>
          <w:sz w:val="22"/>
          <w:szCs w:val="22"/>
          <w:lang w:val="en-US"/>
        </w:rPr>
        <w:t>-</w:t>
      </w:r>
      <w:r w:rsidRPr="00383EE9">
        <w:rPr>
          <w:rFonts w:ascii="Cambria" w:eastAsiaTheme="minorHAnsi" w:hAnsi="Cambria"/>
          <w:sz w:val="22"/>
          <w:szCs w:val="22"/>
          <w:lang w:val="en-US"/>
        </w:rPr>
        <w:t>230</w:t>
      </w:r>
      <w:r>
        <w:rPr>
          <w:rFonts w:ascii="Cambria" w:eastAsiaTheme="minorHAnsi" w:hAnsi="Cambria"/>
          <w:sz w:val="22"/>
          <w:szCs w:val="22"/>
          <w:lang w:val="en-US"/>
        </w:rPr>
        <w:t>,</w:t>
      </w:r>
      <w:r w:rsidRPr="00383EE9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383EE9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383EE9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16" w:history="1">
        <w:r w:rsidRPr="00994041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10.1016/j</w:t>
        </w:r>
        <w:r w:rsidRPr="00994041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.</w:t>
        </w:r>
        <w:r w:rsidRPr="00994041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epsl.2004.10.</w:t>
        </w:r>
        <w:r w:rsidRPr="00994041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0</w:t>
        </w:r>
        <w:r w:rsidRPr="00994041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12</w:t>
        </w:r>
      </w:hyperlink>
    </w:p>
    <w:p w14:paraId="7701A770" w14:textId="5C00E10E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 </w:t>
      </w:r>
      <w:r w:rsidRPr="00AC353A">
        <w:rPr>
          <w:rFonts w:ascii="Cambria" w:hAnsi="Cambria"/>
          <w:sz w:val="22"/>
          <w:szCs w:val="22"/>
          <w:lang w:val="en-US"/>
        </w:rPr>
        <w:t xml:space="preserve">(10)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Billen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MI (2008) Modeling the dynamics of subducting slabs. Annual Review of Earth and Planetary Sciences 36</w:t>
      </w:r>
      <w:r w:rsidR="003B0206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325</w:t>
      </w:r>
      <w:r w:rsidR="003B0206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356</w:t>
      </w:r>
      <w:r w:rsidR="003B0206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17" w:history="1">
        <w:r w:rsidR="006A1CED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10.1146/annurev.earth.36.031207.124129</w:t>
        </w:r>
      </w:hyperlink>
    </w:p>
    <w:p w14:paraId="2B184345" w14:textId="7A72FB49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 (11)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Dellefant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F and 6 coauthors (2024) Emplacement of shocked basement clasts during crater excavation in the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Ries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impact structure. International Journal of Earth Sciences 113</w:t>
      </w:r>
      <w:r w:rsidR="003B0206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951</w:t>
      </w:r>
      <w:r w:rsidR="003B0206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971</w:t>
      </w:r>
      <w:r w:rsidR="003B0206">
        <w:rPr>
          <w:rFonts w:ascii="Cambria" w:eastAsiaTheme="minorHAnsi" w:hAnsi="Cambria"/>
          <w:sz w:val="22"/>
          <w:szCs w:val="22"/>
          <w:lang w:val="en-US"/>
        </w:rPr>
        <w:t xml:space="preserve">, </w:t>
      </w:r>
      <w:proofErr w:type="spellStart"/>
      <w:r w:rsidR="003B0206">
        <w:rPr>
          <w:rFonts w:ascii="Cambria" w:eastAsiaTheme="minorHAnsi" w:hAnsi="Cambria"/>
          <w:sz w:val="22"/>
          <w:szCs w:val="22"/>
          <w:lang w:val="en-US"/>
        </w:rPr>
        <w:t>d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18" w:history="1">
        <w:r w:rsidR="003B0206" w:rsidRPr="003B0206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10.1007/s00531-02</w:t>
        </w:r>
        <w:r w:rsidR="003B0206" w:rsidRPr="003B0206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4</w:t>
        </w:r>
        <w:r w:rsidR="003B0206" w:rsidRPr="003B0206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-02403-z</w:t>
        </w:r>
      </w:hyperlink>
    </w:p>
    <w:p w14:paraId="4BAFE16B" w14:textId="7782D5E0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(12)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Trepmann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CA (2008) Shock effects in quartz: </w:t>
      </w:r>
      <w:r w:rsidR="00E50CF5">
        <w:rPr>
          <w:rFonts w:ascii="Cambria" w:eastAsiaTheme="minorHAnsi" w:hAnsi="Cambria"/>
          <w:sz w:val="22"/>
          <w:szCs w:val="22"/>
          <w:lang w:val="en-US"/>
        </w:rPr>
        <w:t>c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ompression versus shear deformation—</w:t>
      </w:r>
      <w:r w:rsidR="00E50CF5">
        <w:rPr>
          <w:rFonts w:ascii="Cambria" w:eastAsiaTheme="minorHAnsi" w:hAnsi="Cambria"/>
          <w:sz w:val="22"/>
          <w:szCs w:val="22"/>
          <w:lang w:val="en-US"/>
        </w:rPr>
        <w:t>a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n example from the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Rochechouart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impact structure, France. Earth and Planetary Science Letters 267</w:t>
      </w:r>
      <w:r w:rsidR="00E50CF5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322</w:t>
      </w:r>
      <w:r w:rsidR="00E50CF5">
        <w:rPr>
          <w:rFonts w:ascii="Cambria" w:eastAsiaTheme="minorHAnsi" w:hAnsi="Cambria"/>
          <w:sz w:val="22"/>
          <w:szCs w:val="22"/>
          <w:lang w:val="en-US"/>
        </w:rPr>
        <w:t>-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332</w:t>
      </w:r>
      <w:r w:rsidR="00E50CF5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doi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19" w:history="1">
        <w:r w:rsidR="00E50CF5" w:rsidRPr="00E50CF5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10.1016/j.epsl.2007.11.035</w:t>
        </w:r>
      </w:hyperlink>
      <w:hyperlink r:id="rId20" w:tooltip="https://doi.org/10.1016/j.epsl.2007.11.035" w:history="1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</w:p>
    <w:p w14:paraId="0B0BB36E" w14:textId="46F4B9B3" w:rsidR="00AC353A" w:rsidRPr="00AC353A" w:rsidRDefault="00AC353A" w:rsidP="00E50CF5">
      <w:pPr>
        <w:adjustRightInd w:val="0"/>
        <w:snapToGrid w:val="0"/>
        <w:spacing w:before="120" w:after="120" w:line="259" w:lineRule="auto"/>
        <w:ind w:left="720" w:hanging="720"/>
        <w:jc w:val="both"/>
        <w:rPr>
          <w:rFonts w:ascii="Cambria" w:eastAsiaTheme="minorHAnsi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t xml:space="preserve">(13) 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Rae ASP,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Poelchau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MH, </w:t>
      </w:r>
      <w:proofErr w:type="spellStart"/>
      <w:r w:rsidRPr="00AC353A">
        <w:rPr>
          <w:rFonts w:ascii="Cambria" w:eastAsiaTheme="minorHAnsi" w:hAnsi="Cambria"/>
          <w:sz w:val="22"/>
          <w:szCs w:val="22"/>
          <w:lang w:val="en-US"/>
        </w:rPr>
        <w:t>Kenkmann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T (2021) Stress and strain during shock metamorphism. Icarus 370</w:t>
      </w:r>
      <w:r w:rsidR="00E50CF5">
        <w:rPr>
          <w:rFonts w:ascii="Cambria" w:eastAsiaTheme="minorHAnsi" w:hAnsi="Cambria"/>
          <w:sz w:val="22"/>
          <w:szCs w:val="22"/>
          <w:lang w:val="en-US"/>
        </w:rPr>
        <w:t>: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114687</w:t>
      </w:r>
      <w:r w:rsidR="00E50CF5">
        <w:rPr>
          <w:rFonts w:ascii="Cambria" w:eastAsiaTheme="minorHAnsi" w:hAnsi="Cambria"/>
          <w:sz w:val="22"/>
          <w:szCs w:val="22"/>
          <w:lang w:val="en-US"/>
        </w:rPr>
        <w:t>,</w:t>
      </w:r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 </w:t>
      </w:r>
      <w:proofErr w:type="spellStart"/>
      <w:r w:rsidR="00E50CF5">
        <w:rPr>
          <w:rFonts w:ascii="Cambria" w:eastAsiaTheme="minorHAnsi" w:hAnsi="Cambria"/>
          <w:sz w:val="22"/>
          <w:szCs w:val="22"/>
          <w:lang w:val="en-US"/>
        </w:rPr>
        <w:t>d</w:t>
      </w:r>
      <w:r w:rsidRPr="00AC353A">
        <w:rPr>
          <w:rFonts w:ascii="Cambria" w:eastAsiaTheme="minorHAnsi" w:hAnsi="Cambria"/>
          <w:sz w:val="22"/>
          <w:szCs w:val="22"/>
          <w:lang w:val="en-US"/>
        </w:rPr>
        <w:t>oi</w:t>
      </w:r>
      <w:proofErr w:type="spellEnd"/>
      <w:r w:rsidRPr="00AC353A">
        <w:rPr>
          <w:rFonts w:ascii="Cambria" w:eastAsiaTheme="minorHAnsi" w:hAnsi="Cambria"/>
          <w:sz w:val="22"/>
          <w:szCs w:val="22"/>
          <w:lang w:val="en-US"/>
        </w:rPr>
        <w:t xml:space="preserve">: </w:t>
      </w:r>
      <w:hyperlink r:id="rId21" w:history="1">
        <w:r w:rsidR="00E50CF5" w:rsidRPr="00E50CF5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10.1</w:t>
        </w:r>
        <w:r w:rsidR="00E50CF5" w:rsidRPr="00E50CF5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0</w:t>
        </w:r>
        <w:r w:rsidR="00E50CF5" w:rsidRPr="00E50CF5">
          <w:rPr>
            <w:rStyle w:val="Hyperlink"/>
            <w:rFonts w:ascii="Cambria" w:eastAsiaTheme="minorHAnsi" w:hAnsi="Cambria"/>
            <w:sz w:val="22"/>
            <w:szCs w:val="22"/>
            <w:lang w:val="en-US"/>
          </w:rPr>
          <w:t>16/j.icarus.2021.114687</w:t>
        </w:r>
      </w:hyperlink>
    </w:p>
    <w:p w14:paraId="01DBC2D5" w14:textId="5AEF3CCE" w:rsidR="00F505A4" w:rsidRPr="00AC353A" w:rsidRDefault="00AC353A" w:rsidP="00AC353A">
      <w:pPr>
        <w:adjustRightInd w:val="0"/>
        <w:snapToGrid w:val="0"/>
        <w:spacing w:before="120" w:after="120" w:line="240" w:lineRule="auto"/>
        <w:jc w:val="both"/>
        <w:rPr>
          <w:rFonts w:ascii="Cambria" w:hAnsi="Cambria"/>
          <w:sz w:val="22"/>
          <w:szCs w:val="22"/>
          <w:lang w:val="en-US"/>
        </w:rPr>
      </w:pPr>
      <w:r w:rsidRPr="00AC353A">
        <w:rPr>
          <w:rFonts w:ascii="Cambria" w:hAnsi="Cambria"/>
          <w:sz w:val="22"/>
          <w:szCs w:val="22"/>
          <w:lang w:val="en-US"/>
        </w:rPr>
        <w:br/>
      </w:r>
    </w:p>
    <w:p w14:paraId="66CE1448" w14:textId="01D046ED" w:rsidR="00F505A4" w:rsidRPr="00AC353A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both"/>
        <w:rPr>
          <w:rFonts w:ascii="Cambria" w:eastAsiaTheme="minorHAnsi" w:hAnsi="Cambria"/>
          <w:sz w:val="22"/>
          <w:szCs w:val="22"/>
          <w:lang w:val="en-US"/>
        </w:rPr>
      </w:pPr>
    </w:p>
    <w:p w14:paraId="186A08B6" w14:textId="18CC8F74" w:rsidR="00F505A4" w:rsidRPr="00AC353A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both"/>
        <w:rPr>
          <w:rFonts w:ascii="Cambria" w:eastAsiaTheme="minorHAnsi" w:hAnsi="Cambria"/>
          <w:sz w:val="22"/>
          <w:szCs w:val="22"/>
          <w:lang w:val="en-US"/>
        </w:rPr>
      </w:pPr>
    </w:p>
    <w:p w14:paraId="30982601" w14:textId="471B6125" w:rsidR="00F505A4" w:rsidRPr="00AC353A" w:rsidRDefault="00F505A4" w:rsidP="00F505A4">
      <w:pPr>
        <w:adjustRightInd w:val="0"/>
        <w:snapToGrid w:val="0"/>
        <w:spacing w:before="120" w:after="120" w:line="240" w:lineRule="auto"/>
        <w:ind w:left="706" w:hanging="706"/>
        <w:jc w:val="both"/>
        <w:rPr>
          <w:rFonts w:ascii="Cambria" w:eastAsiaTheme="minorHAnsi" w:hAnsi="Cambria"/>
          <w:sz w:val="22"/>
          <w:szCs w:val="22"/>
          <w:lang w:val="en-US"/>
        </w:rPr>
      </w:pPr>
    </w:p>
    <w:p w14:paraId="2C68B1F4" w14:textId="77777777" w:rsidR="00F54DED" w:rsidRPr="00F505A4" w:rsidRDefault="00F54DED" w:rsidP="00F505A4">
      <w:pPr>
        <w:spacing w:before="120" w:after="120" w:line="240" w:lineRule="auto"/>
        <w:rPr>
          <w:rFonts w:ascii="Cambria" w:hAnsi="Cambria"/>
          <w:sz w:val="22"/>
          <w:szCs w:val="22"/>
        </w:rPr>
      </w:pPr>
    </w:p>
    <w:sectPr w:rsidR="00F54DED" w:rsidRPr="00F50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2335" w14:textId="77777777" w:rsidR="00451FF4" w:rsidRDefault="00451FF4" w:rsidP="00F505A4">
      <w:pPr>
        <w:spacing w:after="0" w:line="240" w:lineRule="auto"/>
      </w:pPr>
      <w:r>
        <w:separator/>
      </w:r>
    </w:p>
  </w:endnote>
  <w:endnote w:type="continuationSeparator" w:id="0">
    <w:p w14:paraId="69722B0F" w14:textId="77777777" w:rsidR="00451FF4" w:rsidRDefault="00451FF4" w:rsidP="00F5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F0EC" w14:textId="77777777" w:rsidR="00451FF4" w:rsidRDefault="00451FF4" w:rsidP="00F505A4">
      <w:pPr>
        <w:spacing w:after="0" w:line="240" w:lineRule="auto"/>
      </w:pPr>
      <w:r>
        <w:separator/>
      </w:r>
    </w:p>
  </w:footnote>
  <w:footnote w:type="continuationSeparator" w:id="0">
    <w:p w14:paraId="77D3E6BB" w14:textId="77777777" w:rsidR="00451FF4" w:rsidRDefault="00451FF4" w:rsidP="00F50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A4"/>
    <w:rsid w:val="00057560"/>
    <w:rsid w:val="00072448"/>
    <w:rsid w:val="000C64E3"/>
    <w:rsid w:val="001573B0"/>
    <w:rsid w:val="001924E4"/>
    <w:rsid w:val="00303C93"/>
    <w:rsid w:val="003148BF"/>
    <w:rsid w:val="003B0206"/>
    <w:rsid w:val="00451FF4"/>
    <w:rsid w:val="00537B57"/>
    <w:rsid w:val="005F1B54"/>
    <w:rsid w:val="006A1CED"/>
    <w:rsid w:val="00742EDE"/>
    <w:rsid w:val="00814ACD"/>
    <w:rsid w:val="008934AC"/>
    <w:rsid w:val="00A329DA"/>
    <w:rsid w:val="00AC353A"/>
    <w:rsid w:val="00B83680"/>
    <w:rsid w:val="00C40975"/>
    <w:rsid w:val="00CB177D"/>
    <w:rsid w:val="00D048CC"/>
    <w:rsid w:val="00D858BE"/>
    <w:rsid w:val="00E30D54"/>
    <w:rsid w:val="00E50CF5"/>
    <w:rsid w:val="00E96113"/>
    <w:rsid w:val="00F505A4"/>
    <w:rsid w:val="00F54DED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B584C"/>
  <w15:chartTrackingRefBased/>
  <w15:docId w15:val="{3C54A6E6-AC06-EF47-AAC9-5E3A0785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A4"/>
    <w:pPr>
      <w:spacing w:after="160" w:line="278" w:lineRule="auto"/>
    </w:pPr>
    <w:rPr>
      <w:rFonts w:eastAsiaTheme="minorEastAsia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uiPriority w:val="99"/>
    <w:unhideWhenUsed/>
    <w:rsid w:val="00F505A4"/>
    <w:pPr>
      <w:spacing w:after="0" w:line="240" w:lineRule="auto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character" w:customStyle="1" w:styleId="FootnoteTextChar">
    <w:name w:val="Footnote Text Char"/>
    <w:basedOn w:val="DefaultParagraphFont"/>
    <w:uiPriority w:val="99"/>
    <w:semiHidden/>
    <w:rsid w:val="00F505A4"/>
    <w:rPr>
      <w:rFonts w:eastAsiaTheme="minorEastAsia"/>
      <w:sz w:val="20"/>
      <w:szCs w:val="20"/>
      <w:lang w:val="fr-CH" w:eastAsia="fr-CH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F505A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05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05A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53A"/>
    <w:rPr>
      <w:rFonts w:eastAsiaTheme="minorEastAsia"/>
      <w:sz w:val="20"/>
      <w:szCs w:val="20"/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53A"/>
    <w:rPr>
      <w:rFonts w:eastAsiaTheme="minorEastAsia"/>
      <w:b/>
      <w:bCs/>
      <w:sz w:val="20"/>
      <w:szCs w:val="20"/>
      <w:lang w:val="fr-CH" w:eastAsia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AC35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531-009-0443-3" TargetMode="External"/><Relationship Id="rId13" Type="http://schemas.openxmlformats.org/officeDocument/2006/relationships/hyperlink" Target="https://doi.org/10.1029/2021JB023616" TargetMode="External"/><Relationship Id="rId18" Type="http://schemas.openxmlformats.org/officeDocument/2006/relationships/hyperlink" Target="https://doi.org/10.1007/s00531-024-02403-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icarus.2021.114687" TargetMode="External"/><Relationship Id="rId7" Type="http://schemas.openxmlformats.org/officeDocument/2006/relationships/hyperlink" Target="mailto:claudia.trepmann@lmu.de" TargetMode="External"/><Relationship Id="rId12" Type="http://schemas.openxmlformats.org/officeDocument/2006/relationships/hyperlink" Target="https://doi.org/10.1007/s005310000165" TargetMode="External"/><Relationship Id="rId17" Type="http://schemas.openxmlformats.org/officeDocument/2006/relationships/hyperlink" Target="https://doi.org/10.1146/annurev.earth.36.031207.1241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epsl.2004.10.012" TargetMode="External"/><Relationship Id="rId20" Type="http://schemas.openxmlformats.org/officeDocument/2006/relationships/hyperlink" Target="https://doi.org/10.1016/j.epsl.2007.11.035" TargetMode="External"/><Relationship Id="rId1" Type="http://schemas.openxmlformats.org/officeDocument/2006/relationships/styles" Target="styles.xml"/><Relationship Id="rId6" Type="http://schemas.openxmlformats.org/officeDocument/2006/relationships/hyperlink" Target="mailto:patrick.cordier@univ-lille.fr" TargetMode="External"/><Relationship Id="rId11" Type="http://schemas.openxmlformats.org/officeDocument/2006/relationships/hyperlink" Target="https://doi.org/10.1016/j.tecto.2021.22904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44/GSL.SP.2001.200.01.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44/GSL.SP.2001.200.01.11" TargetMode="External"/><Relationship Id="rId19" Type="http://schemas.openxmlformats.org/officeDocument/2006/relationships/hyperlink" Target="https://doi.org/10.1016/j.epsl.2007.11.0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S0040-1951(01)00091-9" TargetMode="External"/><Relationship Id="rId14" Type="http://schemas.openxmlformats.org/officeDocument/2006/relationships/hyperlink" Target="https://doi.org/10.1130/G25230A.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712</Words>
  <Characters>4055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Elements Editorial Team</dc:creator>
  <cp:keywords/>
  <dc:description/>
  <cp:lastModifiedBy>Elements Editorial Team</cp:lastModifiedBy>
  <cp:revision>3</cp:revision>
  <dcterms:created xsi:type="dcterms:W3CDTF">2026-03-18T16:34:00Z</dcterms:created>
  <dcterms:modified xsi:type="dcterms:W3CDTF">2026-03-19T12:54:00Z</dcterms:modified>
</cp:coreProperties>
</file>